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B5741C" w:rsidRPr="00B5741C">
        <w:rPr>
          <w:rFonts w:ascii="Akrobat Bold" w:hAnsi="Akrobat Bold"/>
          <w:b/>
          <w:noProof/>
          <w:sz w:val="28"/>
          <w:szCs w:val="28"/>
        </w:rPr>
        <w:t>1</w:t>
      </w:r>
      <w:r w:rsidR="009B63B2">
        <w:rPr>
          <w:rFonts w:ascii="Akrobat Bold" w:hAnsi="Akrobat Bold"/>
          <w:b/>
          <w:noProof/>
          <w:sz w:val="28"/>
          <w:szCs w:val="28"/>
        </w:rPr>
        <w:t>8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Конкурсное задание регионального чемпионата является СЕКРЕТНЫМ (согласно технического описания).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Главный эксперт чемпионата получает задание в С-2 по </w:t>
      </w:r>
      <w:r w:rsidRPr="00D155F4">
        <w:rPr>
          <w:rFonts w:ascii="Akrobat Bold" w:hAnsi="Akrobat Bold"/>
          <w:sz w:val="28"/>
          <w:szCs w:val="28"/>
          <w:lang w:val="en-US"/>
        </w:rPr>
        <w:t>e</w:t>
      </w:r>
      <w:r w:rsidRPr="00D155F4">
        <w:rPr>
          <w:rFonts w:ascii="Akrobat Bold" w:hAnsi="Akrobat Bold"/>
          <w:sz w:val="28"/>
          <w:szCs w:val="28"/>
        </w:rPr>
        <w:t>-</w:t>
      </w:r>
      <w:r w:rsidRPr="00D155F4">
        <w:rPr>
          <w:rFonts w:ascii="Akrobat Bold" w:hAnsi="Akrobat Bold"/>
          <w:sz w:val="28"/>
          <w:szCs w:val="28"/>
          <w:lang w:val="en-US"/>
        </w:rPr>
        <w:t>mail</w:t>
      </w:r>
      <w:r w:rsidRPr="00D155F4">
        <w:rPr>
          <w:rFonts w:ascii="Akrobat Bold" w:hAnsi="Akrobat Bold"/>
          <w:sz w:val="28"/>
          <w:szCs w:val="28"/>
        </w:rPr>
        <w:t xml:space="preserve"> и проводит ознакомление экспертов с заданием, ресурсами и 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Конкурсанты должны быть ознакомлены с  ОПИСАНИЕ</w:t>
      </w:r>
      <w:r>
        <w:rPr>
          <w:rFonts w:ascii="Akrobat Bold" w:hAnsi="Akrobat Bold"/>
          <w:sz w:val="28"/>
          <w:szCs w:val="28"/>
        </w:rPr>
        <w:t>М</w:t>
      </w:r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аспектами критериев оценки производится до начала чемпионата (см.выше).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, так и в 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конкурса.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2" w:name="_Toc379539625"/>
    </w:p>
    <w:p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2"/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:rsidTr="003C7907">
        <w:tc>
          <w:tcPr>
            <w:tcW w:w="585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:rsidTr="003C7907">
        <w:trPr>
          <w:trHeight w:val="281"/>
        </w:trPr>
        <w:tc>
          <w:tcPr>
            <w:tcW w:w="585" w:type="dxa"/>
          </w:tcPr>
          <w:p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веб-клиента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 xml:space="preserve">С1, С2,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r>
        <w:rPr>
          <w:rFonts w:ascii="Akrobat Bold" w:hAnsi="Akrobat Bold"/>
          <w:sz w:val="28"/>
          <w:szCs w:val="28"/>
          <w:lang w:val="en-US"/>
        </w:rPr>
        <w:t>Android</w:t>
      </w:r>
      <w:r w:rsidR="009B63B2">
        <w:rPr>
          <w:rFonts w:ascii="Akrobat Bold" w:hAnsi="Akrobat Bold"/>
          <w:sz w:val="28"/>
          <w:szCs w:val="28"/>
        </w:rPr>
        <w:t>(</w:t>
      </w:r>
      <w:r w:rsidR="009B63B2">
        <w:rPr>
          <w:rFonts w:ascii="Akrobat Bold" w:hAnsi="Akrobat Bold"/>
          <w:sz w:val="28"/>
          <w:szCs w:val="28"/>
          <w:lang w:val="en-US"/>
        </w:rPr>
        <w:t>API</w:t>
      </w:r>
      <w:r w:rsidR="009B63B2" w:rsidRPr="009B63B2">
        <w:rPr>
          <w:rFonts w:ascii="Akrobat Bold" w:hAnsi="Akrobat Bold"/>
          <w:sz w:val="28"/>
          <w:szCs w:val="28"/>
        </w:rPr>
        <w:t>).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веб-клиента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>
        <w:rPr>
          <w:rFonts w:ascii="Akrobat Bold" w:hAnsi="Akrobat Bold"/>
          <w:sz w:val="28"/>
          <w:szCs w:val="28"/>
        </w:rPr>
        <w:t xml:space="preserve">графического </w:t>
      </w:r>
      <w:r w:rsidRPr="00D155F4">
        <w:rPr>
          <w:rFonts w:ascii="Akrobat Bold" w:hAnsi="Akrobat Bold"/>
          <w:sz w:val="28"/>
          <w:szCs w:val="28"/>
        </w:rPr>
        <w:t>интерфейса</w:t>
      </w:r>
      <w:r w:rsidR="009B63B2">
        <w:rPr>
          <w:rFonts w:ascii="Akrobat Bold" w:hAnsi="Akrobat Bold"/>
          <w:sz w:val="28"/>
          <w:szCs w:val="28"/>
        </w:rPr>
        <w:t xml:space="preserve"> (клиентская часть) </w:t>
      </w:r>
      <w:r>
        <w:rPr>
          <w:rFonts w:ascii="Akrobat Bold" w:hAnsi="Akrobat Bold"/>
          <w:sz w:val="28"/>
          <w:szCs w:val="28"/>
        </w:rPr>
        <w:t xml:space="preserve">пользователя </w:t>
      </w:r>
      <w:r w:rsidRPr="00D155F4">
        <w:rPr>
          <w:rFonts w:ascii="Akrobat Bold" w:hAnsi="Akrobat Bold"/>
          <w:sz w:val="28"/>
          <w:szCs w:val="28"/>
        </w:rPr>
        <w:t xml:space="preserve"> для веб-сайта.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системы.</w:t>
      </w:r>
    </w:p>
    <w:p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3" w:name="_Toc379539626"/>
    </w:p>
    <w:p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3"/>
    </w:p>
    <w:p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:rsidTr="00B961BC">
        <w:tc>
          <w:tcPr>
            <w:tcW w:w="1101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:rsidTr="00B961BC">
        <w:tc>
          <w:tcPr>
            <w:tcW w:w="1101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</w:t>
            </w:r>
            <w:r w:rsidRPr="003C7907">
              <w:rPr>
                <w:rFonts w:ascii="Akrobat Bold" w:hAnsi="Akrobat Bold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4361" w:type="dxa"/>
            <w:gridSpan w:val="2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</w:t>
      </w:r>
      <w:r w:rsidR="009B63B2">
        <w:rPr>
          <w:rFonts w:ascii="Akrobat Bold" w:hAnsi="Akrobat Bold"/>
          <w:sz w:val="28"/>
          <w:szCs w:val="28"/>
        </w:rPr>
        <w:t>о</w:t>
      </w:r>
    </w:p>
    <w:p w:rsidR="003C7907" w:rsidRPr="00B5741C" w:rsidRDefault="003C7907" w:rsidP="009B63B2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34" w:rsidRDefault="00134234">
      <w:r>
        <w:separator/>
      </w:r>
    </w:p>
  </w:endnote>
  <w:endnote w:type="continuationSeparator" w:id="0">
    <w:p w:rsidR="00134234" w:rsidRDefault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B2" w:rsidRDefault="009B63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4772695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бизнеса_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DigitalSkills</w:t>
              </w:r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B63B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C7907" w:rsidRDefault="003C79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B2" w:rsidRDefault="009B63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34" w:rsidRDefault="00134234">
      <w:r>
        <w:separator/>
      </w:r>
    </w:p>
  </w:footnote>
  <w:footnote w:type="continuationSeparator" w:id="0">
    <w:p w:rsidR="00134234" w:rsidRDefault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B2" w:rsidRDefault="009B63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B2" w:rsidRDefault="009B63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82282"/>
    <w:rsid w:val="00991922"/>
    <w:rsid w:val="009A3DF0"/>
    <w:rsid w:val="009A4656"/>
    <w:rsid w:val="009B63B2"/>
    <w:rsid w:val="009D2126"/>
    <w:rsid w:val="009F008A"/>
    <w:rsid w:val="009F6F7F"/>
    <w:rsid w:val="00A406A7"/>
    <w:rsid w:val="00A725E7"/>
    <w:rsid w:val="00A81D84"/>
    <w:rsid w:val="00AA0D5E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8004E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50EEC-E018-4C2C-A047-DB43F0C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бизнеса_DigitalSkills</dc:creator>
  <cp:lastModifiedBy>Natalya</cp:lastModifiedBy>
  <cp:revision>2</cp:revision>
  <cp:lastPrinted>2018-08-28T05:10:00Z</cp:lastPrinted>
  <dcterms:created xsi:type="dcterms:W3CDTF">2018-11-14T12:45:00Z</dcterms:created>
  <dcterms:modified xsi:type="dcterms:W3CDTF">2018-11-14T12:45:00Z</dcterms:modified>
</cp:coreProperties>
</file>